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RPr="00686D7B" w:rsidTr="002D66F7">
        <w:tc>
          <w:tcPr>
            <w:tcW w:w="5000" w:type="pct"/>
            <w:hideMark/>
          </w:tcPr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</w:t>
            </w:r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  <w:p w:rsidR="002D66F7" w:rsidRPr="00686D7B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окружного</w:t>
            </w:r>
          </w:p>
          <w:p w:rsidR="002D66F7" w:rsidRPr="00686D7B" w:rsidRDefault="00686D7B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року № 37</w:t>
            </w:r>
            <w:r w:rsidR="002D66F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900CA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  <w:p w:rsidR="002D66F7" w:rsidRPr="00686D7B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 w:rsidRPr="00686D7B">
        <w:rPr>
          <w:rFonts w:eastAsia="Times New Roman"/>
          <w:b/>
          <w:bCs/>
          <w:color w:val="000000"/>
        </w:rPr>
        <w:t>УМОВИ </w:t>
      </w:r>
      <w:r w:rsidRPr="00686D7B">
        <w:rPr>
          <w:rFonts w:eastAsia="Times New Roman"/>
          <w:color w:val="000000"/>
        </w:rPr>
        <w:br/>
      </w:r>
      <w:r w:rsidRPr="00686D7B">
        <w:rPr>
          <w:rFonts w:eastAsia="Times New Roman"/>
          <w:b/>
          <w:bCs/>
          <w:color w:val="000000"/>
        </w:rPr>
        <w:t xml:space="preserve">проведення конкурсу </w:t>
      </w:r>
      <w:r w:rsidRPr="00686D7B"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 w:rsidRPr="00686D7B">
        <w:rPr>
          <w:rFonts w:eastAsia="Calibri"/>
          <w:b/>
          <w:color w:val="000000" w:themeColor="text1"/>
        </w:rPr>
        <w:t>головного</w:t>
      </w:r>
      <w:r w:rsidRPr="00686D7B">
        <w:rPr>
          <w:rFonts w:eastAsia="Calibri"/>
          <w:b/>
          <w:color w:val="000000" w:themeColor="text1"/>
        </w:rPr>
        <w:t xml:space="preserve"> спеціаліста відділу </w:t>
      </w:r>
      <w:r w:rsidR="009172DB" w:rsidRPr="00686D7B">
        <w:rPr>
          <w:rFonts w:eastAsia="Calibri"/>
          <w:b/>
          <w:color w:val="000000" w:themeColor="text1"/>
        </w:rPr>
        <w:t>забезпечення розгляду адміністративних справ</w:t>
      </w:r>
      <w:r w:rsidRPr="00686D7B">
        <w:rPr>
          <w:rFonts w:eastAsia="Calibri"/>
          <w:b/>
          <w:color w:val="000000" w:themeColor="text1"/>
        </w:rPr>
        <w:t xml:space="preserve"> 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Pr="00686D7B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686D7B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bookmarkStart w:id="1" w:name="n766"/>
            <w:bookmarkEnd w:id="1"/>
            <w:proofErr w:type="spellStart"/>
            <w:r w:rsidRPr="00686D7B">
              <w:rPr>
                <w:rFonts w:eastAsia="Times New Roman"/>
                <w:b/>
                <w:lang w:val="en-US"/>
              </w:rPr>
              <w:t>Загальні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умови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Посадові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розробці політики та стратегії діяльності відділу, вносить пропозиції з цього приводу начальнику відділу;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розробці перспективних та поточних планів роботи відділу, вносить пропозиції з цього приводу начальнику відділу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роботу відділу та вносить пропозиції щодо її покращення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Отримує доступ до автоматизованої системи документообігу суду відповідно до покладених </w:t>
            </w:r>
            <w:proofErr w:type="spellStart"/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язків</w:t>
            </w:r>
            <w:proofErr w:type="spellEnd"/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Контролює функціонування єдиної системи організаційного забезпечення розгляду судових справ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дорученням начальника відділу готує проекти відповідей на звернення фізичних чи юридичних осіб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підготовку відділом листів, запитів та інших документів, що відносяться до компетенції відділу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Координує роботу секретарів судового засідання суду, надає їм практичну та методичну роботу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своєчасне та належне формування електронної справи та вносить відомості стосовно розгляду адміністративної справи до автоматизованої системи документообігу суду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B26EB5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належне оформлення матеріалів справи з дотриманням встановлених процесуальним порядком та строків направлення адміністративних справ за підсудністю, на експертизу та до апеляційної і касаційної інстанції.</w:t>
            </w:r>
          </w:p>
          <w:p w:rsidR="00B26EB5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та належну підготовку адміністративних справ для передачі до архіву суду провадження в яких закінчено.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відсутності в судовому засіданн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розпорядник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виконує його функції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 особових справ та інших матеріалів, що знаходяться у нього на виконанні та /або використанні.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оприлюднення списку справ призначених 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розгляду у відповідний день на стенді суду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контроль за своєчасною передачею закінчених провадженням судових справ до архіву суду, проводить аналітичну роботу щодо строків здачі справ, готує відповідні пропозиції з удосконалення цієї роботи, систематично доповідає начальнику відділу про випадки порушення термінів здачі судових справ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начальника відділу забезпечення розгляду адміністративних справ, керівника апарату суду з питань, що стосуються основної діяльності відділу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судові виклики і повідомлення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 конференції, і доповідає про це головуючому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Зазначає на повістках час перебування в суді учасників судового процесу</w:t>
            </w:r>
          </w:p>
          <w:p w:rsidR="00621034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 конференції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ведення протоколу судового засідання;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Направляє копії судових рішень та інших процесуальних документів сторонам та іншим особам, які беруть участь у справ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оформлення матеріалів адміністративної справи і передачу до відді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 документального забезпечення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доручення головуючого у справі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інформацію в кінці кожного робочого дня, надаючи начальнику відділу забезпечення розгляду адміністративних справ списки справ, що розглядалися впродовж дня, з повними та достовірними дани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щодо результатів їх розгляду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функціональними обов'язками</w:t>
            </w:r>
          </w:p>
          <w:p w:rsidR="004B7DFB" w:rsidRPr="00686D7B" w:rsidRDefault="00C17626" w:rsidP="00C17626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наявних у справі документів вносить до обліково-інформаційної картки (</w:t>
            </w:r>
            <w:proofErr w:type="spellStart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інформацію про рішення, дії, процесуальні дії тощо, прийняті/здійснені у процесі розгляду позовної заяви/справи. Забезпечує повноту та відповідність інформації, внесеної ним до обліково-інформаційної картки (</w:t>
            </w:r>
            <w:proofErr w:type="spellStart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статкартки</w:t>
            </w:r>
            <w:proofErr w:type="spellEnd"/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інформації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наявна у документах справи</w:t>
            </w:r>
          </w:p>
          <w:p w:rsidR="004B7DFB" w:rsidRPr="00686D7B" w:rsidRDefault="00C17626" w:rsidP="00D5703B">
            <w:pPr>
              <w:pStyle w:val="a4"/>
              <w:spacing w:line="25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  <w:r w:rsidR="004B7DF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конфіденційність інформації, яка стала відома у ході судового розгляду справи, та інформації, що міститься автоматизова</w:t>
            </w:r>
            <w:r w:rsidR="00621034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системі документообігу суду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оплати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C84C17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686D7B">
              <w:rPr>
                <w:bCs/>
              </w:rPr>
              <w:t xml:space="preserve">осадовий оклад – </w:t>
            </w:r>
            <w:r w:rsidR="00B26EB5" w:rsidRPr="00686D7B">
              <w:rPr>
                <w:bCs/>
              </w:rPr>
              <w:t>5110</w:t>
            </w:r>
            <w:r w:rsidR="0087098F" w:rsidRPr="00686D7B">
              <w:rPr>
                <w:bCs/>
              </w:rPr>
              <w:t xml:space="preserve"> гривень;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C84C17" w:rsidRPr="00627804" w:rsidRDefault="00C84C17" w:rsidP="00C84C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C84C17" w:rsidRDefault="00C84C17" w:rsidP="00C84C17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Інформація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чи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686D7B">
              <w:rPr>
                <w:rFonts w:eastAsia="Times New Roman"/>
                <w:lang w:val="ru-RU"/>
              </w:rPr>
              <w:t>на</w:t>
            </w:r>
            <w:proofErr w:type="gramEnd"/>
            <w:r w:rsidRPr="00686D7B"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686D7B">
              <w:t>Безстроково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Перелі</w:t>
            </w:r>
            <w:proofErr w:type="gramStart"/>
            <w:r w:rsidRPr="00686D7B"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686D7B">
              <w:rPr>
                <w:rFonts w:eastAsia="Times New Roman"/>
                <w:lang w:val="ru-RU"/>
              </w:rPr>
              <w:t>участі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686D7B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686D7B">
              <w:rPr>
                <w:rFonts w:eastAsia="Times New Roman"/>
                <w:lang w:val="ru-RU"/>
              </w:rPr>
              <w:t>їх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686D7B" w:rsidRDefault="0087098F" w:rsidP="0087098F">
            <w:pPr>
              <w:jc w:val="both"/>
            </w:pPr>
            <w:r w:rsidRPr="00686D7B">
              <w:t>1)копія паспорта громадянина України;</w:t>
            </w:r>
          </w:p>
          <w:p w:rsidR="0087098F" w:rsidRPr="00686D7B" w:rsidRDefault="0087098F" w:rsidP="0087098F">
            <w:pPr>
              <w:jc w:val="both"/>
            </w:pPr>
            <w:r w:rsidRPr="00686D7B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686D7B" w:rsidRDefault="0087098F" w:rsidP="0087098F">
            <w:pPr>
              <w:jc w:val="both"/>
            </w:pPr>
            <w:r w:rsidRPr="00686D7B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686D7B" w:rsidRDefault="0087098F" w:rsidP="0087098F">
            <w:pPr>
              <w:jc w:val="both"/>
            </w:pPr>
            <w:r w:rsidRPr="00686D7B">
              <w:t>4)копія (копії) документа (документів) про освіту;</w:t>
            </w:r>
          </w:p>
          <w:p w:rsidR="0087098F" w:rsidRPr="00686D7B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686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686D7B" w:rsidRDefault="0087098F" w:rsidP="0087098F">
            <w:pPr>
              <w:jc w:val="both"/>
            </w:pPr>
            <w:r w:rsidRPr="00686D7B">
              <w:t>6)заповнена особова картка встановленого зразка;</w:t>
            </w:r>
          </w:p>
          <w:p w:rsidR="0087098F" w:rsidRPr="00686D7B" w:rsidRDefault="0087098F" w:rsidP="0087098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A900CA" w:rsidRPr="00686D7B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5621BB" w:rsidRPr="00686D7B" w:rsidRDefault="005621BB" w:rsidP="005621BB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Примітка 2</w:t>
            </w:r>
            <w:r w:rsidRPr="00686D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Pr="00686D7B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</w:t>
            </w:r>
            <w:proofErr w:type="gram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Pr="00686D7B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C8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27 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березня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D53DC0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Документи приймаються з 9:00 до 18:00</w:t>
            </w:r>
            <w:r w:rsid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53DC0" w:rsidRPr="00D53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 п’ятницю до 17:00)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  <w:p w:rsidR="00A900CA" w:rsidRPr="00686D7B" w:rsidRDefault="00A900CA" w:rsidP="00D53DC0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 w:rsidRPr="00686D7B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686D7B" w:rsidRDefault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686D7B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686D7B" w:rsidRDefault="00C8114F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квітня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2019 року, о 10 год. 00 </w:t>
            </w:r>
            <w:proofErr w:type="spellStart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686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686D7B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RPr="00686D7B" w:rsidTr="00621034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 w:rsidRPr="00686D7B">
              <w:rPr>
                <w:rFonts w:eastAsia="Times New Roman"/>
                <w:lang w:val="ru-RU"/>
              </w:rPr>
              <w:t>Пр</w:t>
            </w:r>
            <w:proofErr w:type="gramEnd"/>
            <w:r w:rsidRPr="00686D7B">
              <w:rPr>
                <w:rFonts w:eastAsia="Times New Roman"/>
                <w:lang w:val="ru-RU"/>
              </w:rPr>
              <w:t>ізвище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ім’я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686D7B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686D7B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пошти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686D7B">
              <w:rPr>
                <w:rFonts w:eastAsia="Times New Roman"/>
                <w:lang w:val="ru-RU"/>
              </w:rPr>
              <w:t>надає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питань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7222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686D7B" w:rsidRDefault="0087098F" w:rsidP="0087098F">
            <w:r w:rsidRPr="00686D7B">
              <w:t>тел. (0382) 64-09-48</w:t>
            </w:r>
          </w:p>
          <w:p w:rsidR="0087098F" w:rsidRPr="00686D7B" w:rsidRDefault="0087098F" w:rsidP="0087098F">
            <w:proofErr w:type="spellStart"/>
            <w:r w:rsidRPr="00686D7B">
              <w:t>Email</w:t>
            </w:r>
            <w:proofErr w:type="spellEnd"/>
            <w:r w:rsidRPr="00686D7B">
              <w:t xml:space="preserve">: </w:t>
            </w:r>
            <w:proofErr w:type="spellStart"/>
            <w:r w:rsidRPr="00686D7B">
              <w:rPr>
                <w:lang w:val="en-US"/>
              </w:rPr>
              <w:t>kadry</w:t>
            </w:r>
            <w:proofErr w:type="spellEnd"/>
            <w:r w:rsidRPr="00686D7B">
              <w:t xml:space="preserve">@ </w:t>
            </w:r>
            <w:proofErr w:type="spellStart"/>
            <w:r w:rsidRPr="00686D7B">
              <w:t>adm.km.court.gov.ua</w:t>
            </w:r>
            <w:proofErr w:type="spellEnd"/>
          </w:p>
          <w:p w:rsidR="002D66F7" w:rsidRPr="00686D7B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686D7B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686D7B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87098F" w:rsidP="00672E68">
            <w:pPr>
              <w:spacing w:line="256" w:lineRule="auto"/>
              <w:ind w:left="153"/>
              <w:rPr>
                <w:lang w:val="ru-RU"/>
              </w:rPr>
            </w:pPr>
            <w:r w:rsidRPr="00686D7B">
              <w:t>Вища</w:t>
            </w:r>
            <w:r w:rsidR="00C84C17">
              <w:t xml:space="preserve"> освіта</w:t>
            </w:r>
            <w:r w:rsidRPr="00686D7B">
              <w:t xml:space="preserve">, не нижче ступеня молодшого бакалавра або бакалавра </w:t>
            </w:r>
            <w:r w:rsidR="00672E68" w:rsidRPr="00686D7B">
              <w:t>у галузі знань «</w:t>
            </w:r>
            <w:r w:rsidRPr="00686D7B">
              <w:t>Право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Правознавство</w:t>
            </w:r>
            <w:r w:rsidR="00672E68" w:rsidRPr="00686D7B">
              <w:t>»</w:t>
            </w:r>
            <w:r w:rsidRPr="00686D7B">
              <w:t xml:space="preserve">, </w:t>
            </w:r>
            <w:r w:rsidR="00672E68" w:rsidRPr="00686D7B">
              <w:t>«</w:t>
            </w:r>
            <w:r w:rsidRPr="00686D7B">
              <w:t>Правоохоронна діяльність</w:t>
            </w:r>
            <w:r w:rsidR="00672E68" w:rsidRPr="00686D7B">
              <w:t>»</w:t>
            </w:r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Досвід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C84C17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RPr="00686D7B" w:rsidTr="00621034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Володіння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державною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C84C1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686D7B">
              <w:rPr>
                <w:rFonts w:eastAsia="Times New Roman"/>
                <w:color w:val="000000"/>
                <w:lang w:val="en-US"/>
              </w:rPr>
              <w:t xml:space="preserve">  </w:t>
            </w:r>
            <w:r w:rsidR="00C84C17">
              <w:rPr>
                <w:rFonts w:eastAsia="Times New Roman"/>
                <w:color w:val="000000"/>
              </w:rPr>
              <w:t>В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ільне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686D7B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RPr="00686D7B" w:rsidTr="00686D7B">
        <w:trPr>
          <w:trHeight w:val="491"/>
        </w:trPr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Уміння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працювати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з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686D7B">
              <w:rPr>
                <w:lang w:val="ru-RU"/>
              </w:rPr>
              <w:t>Володіння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комп’ютером</w:t>
            </w:r>
            <w:proofErr w:type="spellEnd"/>
            <w:r w:rsidRPr="00686D7B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686D7B">
              <w:rPr>
                <w:lang w:val="ru-RU"/>
              </w:rPr>
              <w:t>р</w:t>
            </w:r>
            <w:proofErr w:type="gramEnd"/>
            <w:r w:rsidRPr="00686D7B">
              <w:rPr>
                <w:lang w:val="ru-RU"/>
              </w:rPr>
              <w:t>івень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досвідченого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користувача</w:t>
            </w:r>
            <w:proofErr w:type="spellEnd"/>
            <w:r w:rsidRPr="00686D7B">
              <w:rPr>
                <w:lang w:val="ru-RU"/>
              </w:rPr>
              <w:t xml:space="preserve">; </w:t>
            </w:r>
            <w:proofErr w:type="spellStart"/>
            <w:r w:rsidRPr="00686D7B">
              <w:rPr>
                <w:lang w:val="ru-RU"/>
              </w:rPr>
              <w:t>досвід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з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офісним</w:t>
            </w:r>
            <w:proofErr w:type="spellEnd"/>
            <w:r w:rsidRPr="00686D7B">
              <w:rPr>
                <w:lang w:val="ru-RU"/>
              </w:rPr>
              <w:t xml:space="preserve"> пакетом </w:t>
            </w:r>
            <w:r w:rsidRPr="00686D7B">
              <w:rPr>
                <w:lang w:val="en-US"/>
              </w:rPr>
              <w:t>Microsoft</w:t>
            </w:r>
            <w:r w:rsidRPr="00686D7B">
              <w:rPr>
                <w:lang w:val="ru-RU"/>
              </w:rPr>
              <w:t xml:space="preserve"> </w:t>
            </w:r>
            <w:r w:rsidRPr="00686D7B">
              <w:rPr>
                <w:lang w:val="en-US"/>
              </w:rPr>
              <w:t>Office</w:t>
            </w:r>
            <w:r w:rsidRPr="00686D7B">
              <w:rPr>
                <w:lang w:val="ru-RU"/>
              </w:rPr>
              <w:t xml:space="preserve"> (</w:t>
            </w:r>
            <w:r w:rsidRPr="00686D7B">
              <w:rPr>
                <w:lang w:val="en-US"/>
              </w:rPr>
              <w:t>Word</w:t>
            </w:r>
            <w:r w:rsidRPr="00686D7B">
              <w:rPr>
                <w:lang w:val="ru-RU"/>
              </w:rPr>
              <w:t xml:space="preserve">, </w:t>
            </w:r>
            <w:r w:rsidRPr="00686D7B">
              <w:rPr>
                <w:lang w:val="en-US"/>
              </w:rPr>
              <w:t>Excel</w:t>
            </w:r>
            <w:r w:rsidRPr="00686D7B">
              <w:rPr>
                <w:lang w:val="ru-RU"/>
              </w:rPr>
              <w:t xml:space="preserve">); </w:t>
            </w:r>
            <w:proofErr w:type="spellStart"/>
            <w:r w:rsidRPr="00686D7B">
              <w:rPr>
                <w:lang w:val="ru-RU"/>
              </w:rPr>
              <w:t>навички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роботи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з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інформаційно-пошуковими</w:t>
            </w:r>
            <w:proofErr w:type="spellEnd"/>
            <w:r w:rsidRPr="00686D7B">
              <w:rPr>
                <w:lang w:val="ru-RU"/>
              </w:rPr>
              <w:t xml:space="preserve"> системами в </w:t>
            </w:r>
            <w:proofErr w:type="spellStart"/>
            <w:r w:rsidRPr="00686D7B">
              <w:rPr>
                <w:lang w:val="ru-RU"/>
              </w:rPr>
              <w:t>мережі</w:t>
            </w:r>
            <w:proofErr w:type="spellEnd"/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ru-RU"/>
              </w:rPr>
              <w:t>Інтернет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Pr="00686D7B" w:rsidRDefault="002D66F7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ділові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</w:p>
          <w:p w:rsidR="002D66F7" w:rsidRPr="00686D7B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6D7B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Здатність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концентруватися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на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деталях</w:t>
            </w:r>
            <w:proofErr w:type="spellEnd"/>
            <w:r w:rsidRPr="00686D7B">
              <w:rPr>
                <w:lang w:val="en-US"/>
              </w:rPr>
              <w:t>.</w:t>
            </w:r>
          </w:p>
          <w:p w:rsidR="00686D7B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Стресостійкість</w:t>
            </w:r>
            <w:proofErr w:type="spellEnd"/>
            <w:r w:rsidRPr="00686D7B">
              <w:rPr>
                <w:lang w:val="en-US"/>
              </w:rPr>
              <w:t>.</w:t>
            </w:r>
          </w:p>
          <w:p w:rsidR="00686D7B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Вміння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працювати</w:t>
            </w:r>
            <w:proofErr w:type="spellEnd"/>
            <w:r w:rsidRPr="00686D7B">
              <w:rPr>
                <w:lang w:val="en-US"/>
              </w:rPr>
              <w:t xml:space="preserve"> в </w:t>
            </w:r>
            <w:proofErr w:type="spellStart"/>
            <w:r w:rsidRPr="00686D7B">
              <w:rPr>
                <w:lang w:val="en-US"/>
              </w:rPr>
              <w:t>команді</w:t>
            </w:r>
            <w:proofErr w:type="spellEnd"/>
            <w:r w:rsidRPr="00686D7B">
              <w:rPr>
                <w:lang w:val="en-US"/>
              </w:rPr>
              <w:t>.</w:t>
            </w:r>
          </w:p>
          <w:p w:rsidR="00686D7B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686D7B">
              <w:rPr>
                <w:lang w:val="ru-RU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Вміння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дотримуватися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субординації</w:t>
            </w:r>
            <w:proofErr w:type="spellEnd"/>
            <w:r w:rsidRPr="00686D7B">
              <w:rPr>
                <w:lang w:val="en-US"/>
              </w:rPr>
              <w:t>.</w:t>
            </w:r>
          </w:p>
          <w:p w:rsidR="00686D7B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686D7B">
              <w:t>Оперативність</w:t>
            </w:r>
          </w:p>
          <w:p w:rsidR="00726882" w:rsidRPr="00686D7B" w:rsidRDefault="00686D7B" w:rsidP="00686D7B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686D7B">
              <w:t>Стратегічне мислення</w:t>
            </w:r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line="256" w:lineRule="auto"/>
              <w:rPr>
                <w:lang w:val="en-US"/>
              </w:rPr>
            </w:pPr>
            <w:proofErr w:type="spellStart"/>
            <w:r w:rsidRPr="00686D7B">
              <w:rPr>
                <w:lang w:val="en-US"/>
              </w:rPr>
              <w:t>Необхідні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особистісні</w:t>
            </w:r>
            <w:proofErr w:type="spellEnd"/>
            <w:r w:rsidRPr="00686D7B">
              <w:rPr>
                <w:lang w:val="en-US"/>
              </w:rPr>
              <w:t xml:space="preserve"> </w:t>
            </w:r>
            <w:proofErr w:type="spellStart"/>
            <w:r w:rsidRPr="00686D7B">
              <w:rPr>
                <w:lang w:val="en-US"/>
              </w:rPr>
              <w:t>якості</w:t>
            </w:r>
            <w:proofErr w:type="spellEnd"/>
            <w:r w:rsidRPr="00686D7B"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D7B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686D7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86D7B"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7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D7B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D7B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7B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86D7B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Емоційна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6D7B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 w:rsidRPr="00686D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86D7B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2D66F7" w:rsidRPr="00686D7B" w:rsidRDefault="00686D7B" w:rsidP="00686D7B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7B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</w:tr>
      <w:tr w:rsidR="002D66F7" w:rsidRPr="00686D7B" w:rsidTr="00621034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lastRenderedPageBreak/>
              <w:t>Професійні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RPr="00686D7B" w:rsidTr="00621034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686D7B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686D7B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686D7B">
              <w:rPr>
                <w:rFonts w:eastAsia="Times New Roman"/>
                <w:lang w:val="en-US"/>
              </w:rPr>
              <w:t>Знання</w:t>
            </w:r>
            <w:proofErr w:type="spellEnd"/>
            <w:r w:rsidRPr="00686D7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2E68" w:rsidRPr="00686D7B" w:rsidRDefault="00F92197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t>1)</w:t>
            </w:r>
            <w:hyperlink r:id="rId5" w:tgtFrame="_blank" w:history="1">
              <w:proofErr w:type="spellStart"/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672E68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686D7B">
              <w:rPr>
                <w:rFonts w:eastAsia="Times New Roman"/>
                <w:lang w:val="ru-RU"/>
              </w:rPr>
              <w:br/>
            </w:r>
            <w:r w:rsidRPr="00686D7B">
              <w:t>2)</w:t>
            </w:r>
            <w:hyperlink r:id="rId6" w:tgtFrame="_blank" w:history="1"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686D7B">
              <w:rPr>
                <w:rFonts w:eastAsia="Times New Roman"/>
                <w:lang w:val="en-US"/>
              </w:rPr>
              <w:t> </w:t>
            </w:r>
            <w:r w:rsidR="00142AB3"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142AB3" w:rsidRPr="00686D7B">
              <w:rPr>
                <w:rFonts w:eastAsia="Times New Roman"/>
                <w:lang w:val="ru-RU"/>
              </w:rPr>
              <w:t>державну</w:t>
            </w:r>
            <w:proofErr w:type="spellEnd"/>
            <w:r w:rsidR="00142AB3" w:rsidRPr="00686D7B">
              <w:rPr>
                <w:rFonts w:eastAsia="Times New Roman"/>
                <w:lang w:val="ru-RU"/>
              </w:rPr>
              <w:t xml:space="preserve"> службу”</w:t>
            </w:r>
            <w:r w:rsidR="002D66F7" w:rsidRPr="00686D7B">
              <w:rPr>
                <w:rFonts w:eastAsia="Times New Roman"/>
                <w:lang w:val="ru-RU"/>
              </w:rPr>
              <w:br/>
            </w:r>
            <w:r w:rsidRPr="00686D7B">
              <w:t>3)</w:t>
            </w:r>
            <w:hyperlink r:id="rId7" w:tgtFrame="_blank" w:history="1"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686D7B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686D7B">
              <w:rPr>
                <w:rFonts w:eastAsia="Times New Roman"/>
                <w:lang w:val="en-US"/>
              </w:rPr>
              <w:t> </w:t>
            </w:r>
            <w:r w:rsidR="002D66F7" w:rsidRPr="00686D7B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686D7B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686D7B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686D7B">
              <w:rPr>
                <w:rFonts w:eastAsia="Times New Roman"/>
                <w:lang w:val="ru-RU"/>
              </w:rPr>
              <w:t>”</w:t>
            </w:r>
          </w:p>
          <w:p w:rsidR="00672E68" w:rsidRPr="00686D7B" w:rsidRDefault="00672E68" w:rsidP="00C84C17">
            <w:pPr>
              <w:spacing w:line="256" w:lineRule="auto"/>
              <w:rPr>
                <w:rFonts w:eastAsia="Times New Roman"/>
                <w:lang w:val="ru-RU"/>
              </w:rPr>
            </w:pPr>
            <w:r w:rsidRPr="00686D7B">
              <w:rPr>
                <w:rFonts w:eastAsia="Times New Roman"/>
                <w:lang w:val="ru-RU"/>
              </w:rPr>
              <w:t>4)</w:t>
            </w:r>
            <w:r w:rsidRPr="00686D7B">
              <w:t>Закон України «Про звернення громадян»</w:t>
            </w:r>
          </w:p>
        </w:tc>
      </w:tr>
      <w:tr w:rsidR="002D66F7" w:rsidRPr="00686D7B" w:rsidTr="00621034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686D7B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686D7B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686D7B">
              <w:rPr>
                <w:rFonts w:eastAsia="Times New Roman"/>
                <w:lang w:val="ru-RU"/>
              </w:rPr>
              <w:t>Знання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86D7B">
              <w:rPr>
                <w:rFonts w:eastAsia="Times New Roman"/>
                <w:lang w:val="ru-RU"/>
              </w:rPr>
              <w:t>що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із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686D7B">
              <w:rPr>
                <w:rFonts w:eastAsia="Times New Roman"/>
                <w:lang w:val="ru-RU"/>
              </w:rPr>
              <w:t>змістом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роботи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686D7B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686D7B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86D7B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686D7B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686D7B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686D7B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686D7B">
              <w:rPr>
                <w:rFonts w:eastAsia="Times New Roman"/>
                <w:lang w:val="ru-RU"/>
              </w:rPr>
              <w:t>п</w:t>
            </w:r>
            <w:proofErr w:type="gramEnd"/>
            <w:r w:rsidRPr="00686D7B">
              <w:rPr>
                <w:rFonts w:eastAsia="Times New Roman"/>
                <w:lang w:val="ru-RU"/>
              </w:rPr>
              <w:t>ідрозділ</w:t>
            </w:r>
            <w:proofErr w:type="spellEnd"/>
            <w:r w:rsidRPr="00686D7B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72223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</w:t>
            </w:r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proofErr w:type="spellEnd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C84C17" w:rsidRPr="00C84C17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84C17" w:rsidRPr="00C84C17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3)Закону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92197" w:rsidRPr="00686D7B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="00142AB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  <w:p w:rsidR="00F92197" w:rsidRPr="00686D7B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="00F92197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="00A72223"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2D66F7" w:rsidRPr="00686D7B" w:rsidRDefault="00C84C17" w:rsidP="00C84C1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="00686D7B" w:rsidRPr="0068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</w:tc>
      </w:tr>
    </w:tbl>
    <w:p w:rsidR="002D66F7" w:rsidRPr="00686D7B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Pr="00686D7B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Pr="00686D7B" w:rsidRDefault="003262B1"/>
    <w:sectPr w:rsidR="003262B1" w:rsidRPr="00686D7B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578"/>
    <w:multiLevelType w:val="hybridMultilevel"/>
    <w:tmpl w:val="3078BCEC"/>
    <w:lvl w:ilvl="0" w:tplc="141E0244">
      <w:start w:val="1"/>
      <w:numFmt w:val="decimal"/>
      <w:lvlText w:val="%1)"/>
      <w:lvlJc w:val="left"/>
      <w:pPr>
        <w:ind w:left="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6" w:hanging="360"/>
      </w:pPr>
    </w:lvl>
    <w:lvl w:ilvl="2" w:tplc="0422001B" w:tentative="1">
      <w:start w:val="1"/>
      <w:numFmt w:val="lowerRoman"/>
      <w:lvlText w:val="%3."/>
      <w:lvlJc w:val="right"/>
      <w:pPr>
        <w:ind w:left="1946" w:hanging="180"/>
      </w:pPr>
    </w:lvl>
    <w:lvl w:ilvl="3" w:tplc="0422000F" w:tentative="1">
      <w:start w:val="1"/>
      <w:numFmt w:val="decimal"/>
      <w:lvlText w:val="%4."/>
      <w:lvlJc w:val="left"/>
      <w:pPr>
        <w:ind w:left="2666" w:hanging="360"/>
      </w:pPr>
    </w:lvl>
    <w:lvl w:ilvl="4" w:tplc="04220019" w:tentative="1">
      <w:start w:val="1"/>
      <w:numFmt w:val="lowerLetter"/>
      <w:lvlText w:val="%5."/>
      <w:lvlJc w:val="left"/>
      <w:pPr>
        <w:ind w:left="3386" w:hanging="360"/>
      </w:pPr>
    </w:lvl>
    <w:lvl w:ilvl="5" w:tplc="0422001B" w:tentative="1">
      <w:start w:val="1"/>
      <w:numFmt w:val="lowerRoman"/>
      <w:lvlText w:val="%6."/>
      <w:lvlJc w:val="right"/>
      <w:pPr>
        <w:ind w:left="4106" w:hanging="180"/>
      </w:pPr>
    </w:lvl>
    <w:lvl w:ilvl="6" w:tplc="0422000F" w:tentative="1">
      <w:start w:val="1"/>
      <w:numFmt w:val="decimal"/>
      <w:lvlText w:val="%7."/>
      <w:lvlJc w:val="left"/>
      <w:pPr>
        <w:ind w:left="4826" w:hanging="360"/>
      </w:pPr>
    </w:lvl>
    <w:lvl w:ilvl="7" w:tplc="04220019" w:tentative="1">
      <w:start w:val="1"/>
      <w:numFmt w:val="lowerLetter"/>
      <w:lvlText w:val="%8."/>
      <w:lvlJc w:val="left"/>
      <w:pPr>
        <w:ind w:left="5546" w:hanging="360"/>
      </w:pPr>
    </w:lvl>
    <w:lvl w:ilvl="8" w:tplc="0422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15C54"/>
    <w:rsid w:val="000415E6"/>
    <w:rsid w:val="0004207A"/>
    <w:rsid w:val="000D2EB6"/>
    <w:rsid w:val="00142AB3"/>
    <w:rsid w:val="00147567"/>
    <w:rsid w:val="002D66F7"/>
    <w:rsid w:val="002F0C72"/>
    <w:rsid w:val="003262B1"/>
    <w:rsid w:val="00366BDF"/>
    <w:rsid w:val="004B7DFB"/>
    <w:rsid w:val="005621BB"/>
    <w:rsid w:val="0060070A"/>
    <w:rsid w:val="00621034"/>
    <w:rsid w:val="00672E68"/>
    <w:rsid w:val="00686D7B"/>
    <w:rsid w:val="006C4CAA"/>
    <w:rsid w:val="00726882"/>
    <w:rsid w:val="00832012"/>
    <w:rsid w:val="0087098F"/>
    <w:rsid w:val="009172DB"/>
    <w:rsid w:val="00956D92"/>
    <w:rsid w:val="00A47525"/>
    <w:rsid w:val="00A72223"/>
    <w:rsid w:val="00A900CA"/>
    <w:rsid w:val="00B04757"/>
    <w:rsid w:val="00B26EB5"/>
    <w:rsid w:val="00C17626"/>
    <w:rsid w:val="00C8114F"/>
    <w:rsid w:val="00C84C17"/>
    <w:rsid w:val="00CC3B3C"/>
    <w:rsid w:val="00D53DC0"/>
    <w:rsid w:val="00D5703B"/>
    <w:rsid w:val="00F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5931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19</cp:revision>
  <cp:lastPrinted>2019-03-12T12:56:00Z</cp:lastPrinted>
  <dcterms:created xsi:type="dcterms:W3CDTF">2019-03-06T09:27:00Z</dcterms:created>
  <dcterms:modified xsi:type="dcterms:W3CDTF">2019-03-12T12:57:00Z</dcterms:modified>
</cp:coreProperties>
</file>