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0132">
              <w:rPr>
                <w:rFonts w:ascii="Times New Roman" w:hAnsi="Times New Roman"/>
                <w:lang w:val="ru-RU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2019 року №</w:t>
            </w:r>
            <w:r w:rsidR="00930132">
              <w:rPr>
                <w:rFonts w:ascii="Times New Roman" w:hAnsi="Times New Roman"/>
                <w:lang w:val="ru-RU"/>
              </w:rPr>
              <w:t>37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900CA">
              <w:rPr>
                <w:rFonts w:ascii="Times New Roman" w:hAnsi="Times New Roman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спеціаліста відділу </w:t>
      </w:r>
      <w:r w:rsidR="00236A3D">
        <w:rPr>
          <w:rFonts w:eastAsia="Calibri"/>
          <w:b/>
          <w:color w:val="000000" w:themeColor="text1"/>
        </w:rPr>
        <w:t>документального забезпечення</w:t>
      </w:r>
      <w:r>
        <w:rPr>
          <w:rFonts w:eastAsia="Calibri"/>
          <w:b/>
          <w:color w:val="000000" w:themeColor="text1"/>
        </w:rPr>
        <w:t xml:space="preserve"> 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(1 посада)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пропозиції щодо політики та стратегії діяльності відділу, вносить пропозиції з цього приводу начальнику відділ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пропозиції щодо розробки перспективних та поточних планів роботи відділу, вносить пропозиції з цього приводу начальнику відділу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налізує роботу відділу, архіву суду та вносить пропозиції щодо її покрашення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передбачено функціональними обов'язками;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ведення на належному рівні архівної справи в суді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роботу архіву суду та здійснює контроль за додержанням працівниками апарату суду вимог щодо ведення діловодства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приймання та приймає на зберігання судові документи, які підлягають здачі в архів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та забезпечує зберігання документів, які надійшли до архіву суду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контроль за систематизацією, розміщенням та обліком справ, які здані до архіву, виконує цю роботу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з чинними правилами шифрує справи та організовує цю роботу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відповідно до встановленого порядку приймання, реєстрацію, систематизацію, зберігання і використання документів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контроль за систематизацією, розміщенням та обліком справ, які здані до архіву, виконує цю роботу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методичну допомогу щодо пошуку потрібних документів, інструктує працівників структурних підрозділів суду про порядок формування, підготовки і здавання матеріалів до архіву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риєднує до судових справ, які зберігаються в архіві суду, документи, що підтверджують виконання судових рішень, організовує та контролює здійснення цієї роботи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видачу копій судових рішень,інших документів, які зберігаються в архіві суду, та судових 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справ для ознайомлення учасникам судового розгляду відповідно до встановленого порядку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роботу з ведення обліку документообігу та кількості справ, видавання архівних довідок на основі даних, які є в документах архіву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роботу із складання описів справ для передавання документів до державних архівів, складання актів про знищення документів, термін зберігання яких минув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зведені описи справ постійного і тимчасового термінів зберігання, акти для передавання справ на державне зберігання, на списання та знищення, а також бере участь у роботі з експертизи цінності архівних документів</w:t>
            </w:r>
          </w:p>
          <w:p w:rsid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розробленні номенклатури справ, перевіряє правильність формування та оформлення справ під час їх передавання до архіву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розробленні положень та інструкцій з ведення діловодства та організації архівної справи в суді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необхідні дані та складає відповідні звіти щодо роботи архіву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контроль за станом документів, своєчасним їх відновленням, додержанням у приміщеннях архіву умов, необхідних для забезпечення зберігання документів</w:t>
            </w:r>
          </w:p>
          <w:p w:rsidR="00C26CB8" w:rsidRPr="00C26CB8" w:rsidRDefault="00C26CB8" w:rsidP="00C26CB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онтролює додержання правил протипожежної безпеки в приміщеннях архіву</w:t>
            </w:r>
          </w:p>
          <w:p w:rsidR="004B7DFB" w:rsidRDefault="00C26CB8" w:rsidP="00F24139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6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конфіденційність інформації, яка стала відома у ході судового розгляду справи, та інформації, що міститься автоматизованій системі документообігу суду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4207A" w:rsidRDefault="00EA4442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CF7FB4">
              <w:rPr>
                <w:bCs/>
              </w:rPr>
              <w:t>3810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2)надбавка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3)надбавка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ранг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2017 року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» (в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6 лютого 2019 р. № 102);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EA4442" w:rsidRDefault="00EA4442" w:rsidP="00EA4442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службовцям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лютого 2019 р. № 102).</w:t>
            </w:r>
            <w:proofErr w:type="gram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на</w:t>
            </w:r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lastRenderedPageBreak/>
              <w:t>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4B7DFB" w:rsidP="00A900C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lastRenderedPageBreak/>
              <w:t>Безстроково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Перелі</w:t>
            </w:r>
            <w:proofErr w:type="gramStart"/>
            <w:r>
              <w:rPr>
                <w:rFonts w:eastAsia="Times New Roman"/>
                <w:lang w:val="ru-RU"/>
              </w:rPr>
              <w:t>к</w:t>
            </w:r>
            <w:proofErr w:type="spellEnd"/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документів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необхідних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2F6B54" w:rsidRDefault="0087098F" w:rsidP="0087098F">
            <w:pPr>
              <w:jc w:val="both"/>
            </w:pPr>
            <w:r w:rsidRPr="002F6B54">
              <w:t>1)копія паспорта громадянина України;</w:t>
            </w:r>
          </w:p>
          <w:p w:rsidR="0087098F" w:rsidRPr="002F6B54" w:rsidRDefault="0087098F" w:rsidP="0087098F">
            <w:pPr>
              <w:jc w:val="both"/>
            </w:pPr>
            <w:r w:rsidRPr="002F6B54">
              <w:t>2)письмова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87098F" w:rsidRPr="002F6B54" w:rsidRDefault="0087098F" w:rsidP="0087098F">
            <w:pPr>
              <w:jc w:val="both"/>
            </w:pPr>
            <w:r w:rsidRPr="002F6B54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2F6B54" w:rsidRDefault="0087098F" w:rsidP="0087098F">
            <w:pPr>
              <w:jc w:val="both"/>
            </w:pPr>
            <w:r w:rsidRPr="002F6B54">
              <w:t>4)копія (копії) документа (документів) про освіту;</w:t>
            </w:r>
          </w:p>
          <w:p w:rsidR="0087098F" w:rsidRPr="002F6B54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)оригінал посвідчення атестації щодо вільного володіння державною мовою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разі подання документів для участі у конкурсі через Єдиний портал вакансій державної служби </w:t>
            </w:r>
            <w:proofErr w:type="spellStart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</w:t>
            </w:r>
            <w:proofErr w:type="spellEnd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</w:t>
            </w:r>
            <w:proofErr w:type="gramEnd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такого посвідчення, а оригінал обов’язково пред’являється до проходження тестування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098F" w:rsidRPr="002F6B54" w:rsidRDefault="0087098F" w:rsidP="0087098F">
            <w:pPr>
              <w:jc w:val="both"/>
            </w:pPr>
            <w:r w:rsidRPr="002F6B54">
              <w:t>6)заповнена особова картка встановленого зразка;</w:t>
            </w:r>
          </w:p>
          <w:p w:rsidR="0087098F" w:rsidRDefault="0087098F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)декларація особи, уповноваженої на виконання функцій держави або місцевого самоврядування, за минулий </w:t>
            </w:r>
            <w:proofErr w:type="gramStart"/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ік (надається у вигляді роздрукованого примірника заповненої декларації на офіційному сайті НАЗК).</w:t>
            </w:r>
          </w:p>
          <w:p w:rsidR="000D73AA" w:rsidRDefault="000D73AA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1.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НАЗК.   </w:t>
            </w:r>
          </w:p>
          <w:p w:rsidR="000D73AA" w:rsidRDefault="000D73AA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2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A900CA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463CC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709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березня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2019 року.</w:t>
            </w:r>
          </w:p>
          <w:p w:rsidR="00463CCE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Документи приймаються з 9:00 до 18:00</w:t>
            </w:r>
            <w:r w:rsid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(в </w:t>
            </w:r>
            <w:proofErr w:type="spellStart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>п’ятницю</w:t>
            </w:r>
            <w:proofErr w:type="spellEnd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 17:00)</w:t>
            </w:r>
            <w:r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</w:t>
            </w:r>
            <w:r w:rsidR="0087098F"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</w:p>
          <w:p w:rsidR="002D66F7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  <w:p w:rsidR="00A900CA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Default="00A900CA">
            <w:pPr>
              <w:pStyle w:val="a4"/>
              <w:spacing w:line="256" w:lineRule="auto"/>
              <w:ind w:left="11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Default="0087098F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Default="00463CCE" w:rsidP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02 квітня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 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900CA" w:rsidRPr="00A900CA" w:rsidRDefault="00A900C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6F7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val="ru-RU"/>
              </w:rPr>
              <w:t>Пр</w:t>
            </w:r>
            <w:proofErr w:type="gramEnd"/>
            <w:r>
              <w:rPr>
                <w:rFonts w:eastAsia="Times New Roman"/>
                <w:lang w:val="ru-RU"/>
              </w:rPr>
              <w:t>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F2413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Default="0087098F" w:rsidP="0087098F">
            <w:r w:rsidRPr="002F6B54">
              <w:t>тел. (0382) 64-09-48</w:t>
            </w:r>
          </w:p>
          <w:p w:rsidR="0087098F" w:rsidRPr="002F6B54" w:rsidRDefault="0087098F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Pr="002F6B54">
              <w:rPr>
                <w:lang w:val="en-US"/>
              </w:rPr>
              <w:t>kadry</w:t>
            </w:r>
            <w:proofErr w:type="spellEnd"/>
            <w:r w:rsidRPr="002F6B54">
              <w:t xml:space="preserve">@ </w:t>
            </w:r>
            <w:proofErr w:type="spellStart"/>
            <w:r w:rsidRPr="002F6B54">
              <w:t>adm.km.court.gov.ua</w:t>
            </w:r>
            <w:proofErr w:type="spellEnd"/>
          </w:p>
          <w:p w:rsidR="002D66F7" w:rsidRPr="0087098F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lastRenderedPageBreak/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87098F" w:rsidP="00F24139">
            <w:pPr>
              <w:spacing w:line="256" w:lineRule="auto"/>
              <w:ind w:left="153"/>
              <w:rPr>
                <w:lang w:val="ru-RU"/>
              </w:rPr>
            </w:pPr>
            <w:r w:rsidRPr="005B2F19">
              <w:t>Вища</w:t>
            </w:r>
            <w:r w:rsidR="00EA4442">
              <w:t xml:space="preserve"> освіта</w:t>
            </w:r>
            <w:r w:rsidRPr="005B2F19">
              <w:t>, не нижче ступеня молодшого бакалавра або бакалавра</w:t>
            </w:r>
            <w:r>
              <w:t xml:space="preserve"> </w:t>
            </w:r>
            <w:r w:rsidR="00F24139">
              <w:t xml:space="preserve">у галузі знань </w:t>
            </w:r>
            <w:r>
              <w:t xml:space="preserve"> </w:t>
            </w:r>
            <w:r w:rsidR="00F24139">
              <w:t>«</w:t>
            </w:r>
            <w:r>
              <w:t>Право</w:t>
            </w:r>
            <w:r w:rsidR="00F24139">
              <w:t>»</w:t>
            </w:r>
            <w:r>
              <w:t xml:space="preserve">, </w:t>
            </w:r>
            <w:r w:rsidR="00F24139">
              <w:t>«</w:t>
            </w:r>
            <w:r>
              <w:t>Правознавство</w:t>
            </w:r>
            <w:r w:rsidR="00F24139">
              <w:t>»</w:t>
            </w:r>
            <w:r>
              <w:t xml:space="preserve">, </w:t>
            </w:r>
            <w:r w:rsidR="00F24139">
              <w:t>«</w:t>
            </w:r>
            <w:r>
              <w:t>Правоохоронна діяльність</w:t>
            </w:r>
            <w:r w:rsidR="00F24139">
              <w:t>»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EA4442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lang w:val="ru-RU"/>
              </w:rPr>
              <w:t>потребує</w:t>
            </w:r>
            <w:proofErr w:type="spellEnd"/>
          </w:p>
        </w:tc>
      </w:tr>
      <w:tr w:rsidR="002D66F7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2D66F7">
              <w:rPr>
                <w:lang w:val="ru-RU"/>
              </w:rPr>
              <w:t>р</w:t>
            </w:r>
            <w:proofErr w:type="gramEnd"/>
            <w:r w:rsidRPr="002D66F7">
              <w:rPr>
                <w:lang w:val="ru-RU"/>
              </w:rPr>
              <w:t>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2D66F7" w:rsidRDefault="002D66F7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0132" w:rsidRPr="00C2151E" w:rsidRDefault="00930132" w:rsidP="00930132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proofErr w:type="spellStart"/>
            <w:r w:rsidRPr="00C2151E">
              <w:rPr>
                <w:lang w:val="en-US"/>
              </w:rPr>
              <w:t>Здатність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концентруватися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на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деталях</w:t>
            </w:r>
            <w:proofErr w:type="spellEnd"/>
            <w:r w:rsidRPr="00C2151E">
              <w:rPr>
                <w:lang w:val="en-US"/>
              </w:rPr>
              <w:t>.</w:t>
            </w:r>
          </w:p>
          <w:p w:rsidR="00930132" w:rsidRDefault="00930132" w:rsidP="00930132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Стресостійкість</w:t>
            </w:r>
            <w:proofErr w:type="spellEnd"/>
            <w:r>
              <w:rPr>
                <w:lang w:val="en-US"/>
              </w:rPr>
              <w:t>.</w:t>
            </w:r>
          </w:p>
          <w:p w:rsidR="00930132" w:rsidRDefault="00930132" w:rsidP="00930132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Вміння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працювати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команді</w:t>
            </w:r>
            <w:proofErr w:type="spellEnd"/>
            <w:r>
              <w:rPr>
                <w:lang w:val="en-US"/>
              </w:rPr>
              <w:t>.</w:t>
            </w:r>
          </w:p>
          <w:p w:rsidR="00930132" w:rsidRPr="00C2151E" w:rsidRDefault="00930132" w:rsidP="00930132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C2151E">
              <w:rPr>
                <w:lang w:val="ru-RU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Вміння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дотримуватися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субординації</w:t>
            </w:r>
            <w:proofErr w:type="spellEnd"/>
            <w:r w:rsidRPr="00C2151E">
              <w:rPr>
                <w:lang w:val="en-US"/>
              </w:rPr>
              <w:t>.</w:t>
            </w:r>
          </w:p>
          <w:p w:rsidR="00930132" w:rsidRPr="00B31E4F" w:rsidRDefault="00930132" w:rsidP="00930132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t>Оперативність</w:t>
            </w:r>
          </w:p>
          <w:p w:rsidR="00726882" w:rsidRDefault="00930132" w:rsidP="00930132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t>Стратегічне мислення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132" w:rsidRDefault="00930132" w:rsidP="00930132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ніціативність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132" w:rsidRDefault="00930132" w:rsidP="00930132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30132" w:rsidRDefault="00930132" w:rsidP="00930132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Емоційна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стабільність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30132" w:rsidRDefault="00930132" w:rsidP="00930132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30132" w:rsidRDefault="00930132" w:rsidP="00930132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Відповідальність </w:t>
            </w:r>
          </w:p>
          <w:p w:rsidR="002D66F7" w:rsidRDefault="00930132" w:rsidP="00930132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Креативність</w:t>
            </w: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24139" w:rsidRDefault="00F92197" w:rsidP="00F24139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F24139">
              <w:t>1)</w:t>
            </w:r>
            <w:hyperlink r:id="rId5" w:tgtFrame="_blank" w:history="1"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 w:rsid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ru-RU"/>
              </w:rPr>
              <w:t>;</w:t>
            </w:r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br/>
            </w:r>
            <w:r w:rsidRPr="00F24139">
              <w:t>2)</w:t>
            </w:r>
            <w:hyperlink r:id="rId6" w:tgtFrame="_blank" w:history="1"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державну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 xml:space="preserve"> службу”;</w:t>
            </w:r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br/>
            </w:r>
            <w:r w:rsidRPr="00F24139">
              <w:t>3)</w:t>
            </w:r>
            <w:hyperlink r:id="rId7" w:tgtFrame="_blank" w:history="1">
              <w:r w:rsid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>”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4555" w:rsidRPr="002F4555" w:rsidRDefault="002F4555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1)Кодекс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2F4555" w:rsidRPr="002F4555" w:rsidRDefault="002F4555" w:rsidP="002F4555">
            <w:pPr>
              <w:jc w:val="both"/>
              <w:rPr>
                <w:lang w:eastAsia="ru-RU"/>
              </w:rPr>
            </w:pPr>
            <w:r w:rsidRPr="002F4555">
              <w:rPr>
                <w:lang w:val="ru-RU" w:eastAsia="ru-RU"/>
              </w:rPr>
              <w:t xml:space="preserve">   </w:t>
            </w:r>
            <w:r w:rsidRPr="002F4555">
              <w:rPr>
                <w:lang w:eastAsia="ru-RU"/>
              </w:rPr>
              <w:t>2)Закон України «Про судоустрій і статус суддів»;</w:t>
            </w:r>
          </w:p>
          <w:p w:rsidR="002F4555" w:rsidRPr="002F4555" w:rsidRDefault="002F4555" w:rsidP="002F4555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 xml:space="preserve">   3)Закон України «Про судовий збір»;</w:t>
            </w:r>
          </w:p>
          <w:p w:rsidR="002F4555" w:rsidRPr="002F4555" w:rsidRDefault="002F4555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D66F7" w:rsidRPr="00A47525" w:rsidRDefault="002F4555" w:rsidP="002F4555">
            <w:pPr>
              <w:pStyle w:val="a4"/>
              <w:spacing w:line="256" w:lineRule="auto"/>
              <w:ind w:left="146"/>
              <w:rPr>
                <w:i/>
                <w:sz w:val="24"/>
                <w:szCs w:val="24"/>
                <w:lang w:val="uk-UA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</w:tc>
      </w:tr>
    </w:tbl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Default="003262B1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4207A"/>
    <w:rsid w:val="000D73AA"/>
    <w:rsid w:val="00236A3D"/>
    <w:rsid w:val="002D66F7"/>
    <w:rsid w:val="002F08A1"/>
    <w:rsid w:val="002F4555"/>
    <w:rsid w:val="003262B1"/>
    <w:rsid w:val="004065AE"/>
    <w:rsid w:val="00463CCE"/>
    <w:rsid w:val="004B7DFB"/>
    <w:rsid w:val="0059534F"/>
    <w:rsid w:val="00625048"/>
    <w:rsid w:val="006C4CAA"/>
    <w:rsid w:val="00703CFB"/>
    <w:rsid w:val="00726882"/>
    <w:rsid w:val="007A046A"/>
    <w:rsid w:val="00851BF0"/>
    <w:rsid w:val="0087098F"/>
    <w:rsid w:val="00891FF2"/>
    <w:rsid w:val="009172DB"/>
    <w:rsid w:val="00930132"/>
    <w:rsid w:val="009D5350"/>
    <w:rsid w:val="00A47525"/>
    <w:rsid w:val="00A900CA"/>
    <w:rsid w:val="00B26EB5"/>
    <w:rsid w:val="00B27C57"/>
    <w:rsid w:val="00C2688C"/>
    <w:rsid w:val="00C26CB8"/>
    <w:rsid w:val="00C50E2A"/>
    <w:rsid w:val="00CB0471"/>
    <w:rsid w:val="00CF7FB4"/>
    <w:rsid w:val="00E4123B"/>
    <w:rsid w:val="00EA4442"/>
    <w:rsid w:val="00EE2C8B"/>
    <w:rsid w:val="00F24139"/>
    <w:rsid w:val="00F92197"/>
    <w:rsid w:val="00FA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5360</Words>
  <Characters>3056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21</cp:revision>
  <cp:lastPrinted>2019-03-12T12:49:00Z</cp:lastPrinted>
  <dcterms:created xsi:type="dcterms:W3CDTF">2019-03-06T09:27:00Z</dcterms:created>
  <dcterms:modified xsi:type="dcterms:W3CDTF">2019-03-12T12:49:00Z</dcterms:modified>
</cp:coreProperties>
</file>